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德国+法国+瑞士+意大利+比萨+少女峰 13天10晚（HU）FCOBRU（全面升级）行程单</w:t>
      </w:r>
    </w:p>
    <w:p>
      <w:pPr>
        <w:jc w:val="center"/>
        <w:spacing w:after="100"/>
      </w:pPr>
      <w:r>
        <w:rPr>
          <w:rFonts w:ascii="微软雅黑" w:hAnsi="微软雅黑" w:eastAsia="微软雅黑" w:cs="微软雅黑"/>
          <w:sz w:val="20"/>
          <w:szCs w:val="20"/>
        </w:rPr>
        <w:t xml:space="preserve">惠游升级+瑞士2晚+巴黎3晚连住+少女峰+黄金列车+新天鹅堡+比萨斜塔+塞纳河游船+黄金大运河+卢浮宫+佛罗伦萨T骨牛排+墨鱼面+雪山午餐+蜗牛餐+土耳其烤肉汉堡+烤鸡餐+含全餐+含小费+含WIFI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fry1744092626SC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交通：飞机上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 
                <w:br/>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2025-05-22T00:56:39+08:00</dcterms:created>
  <dcterms:modified xsi:type="dcterms:W3CDTF">2025-05-22T00:56:39+08:00</dcterms:modified>
</cp:coreProperties>
</file>

<file path=docProps/custom.xml><?xml version="1.0" encoding="utf-8"?>
<Properties xmlns="http://schemas.openxmlformats.org/officeDocument/2006/custom-properties" xmlns:vt="http://schemas.openxmlformats.org/officeDocument/2006/docPropsVTypes"/>
</file>