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西班牙+葡萄牙13天10晚（HU）MADMAD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xp1744099350Y4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【交通升级】优选航空深圳直飞马德里
                <w:br/>
                ★ 【甄选标准】全程四-五星酒店，升级 2晚五星酒店连住；双城马德里|巴塞罗那两晚连住不挪窝，26人精致小团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【葡萄牙深度】——造访醉美城市--波尔图，入内罗莱书店，漫步路易一世大桥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深圳-(飞机)-马德里-(大巴约90公里)-塞戈维亚-(大巴约170公里)-萨拉曼卡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萨拉曼卡-(大巴约350公里)-波尔图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●【佛朗明戈表演】入内（游览不少于45分钟）,佛朗明戈舞是融歌唱、舞蹈、器乐于一体的西班牙艺术瑰宝，感受忧郁哀伤、狂热奔放合二为一的音乐风格与独特的舞蹈形式构筑成的强大魅力，含晚餐。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塞维利亚-(大巴约125公里)-龙达-(大巴约180公里)-格拉纳达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格拉纳达-(大巴约400公里)-西班牙小镇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西班牙小镇-(大巴约120公里)-瓦伦西亚-(大巴约170公里)-佩尼斯科拉-(大巴约220公里)-巴塞罗那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巴塞罗那-(火车约730公里)-马德里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20个正餐（含6个特色餐：西班牙海鲜饭，葡萄牙鳕鱼餐，品尝葡式蛋挞，牛尾餐，烤乳猪，佛朗明哥晚宴，2个中式自助餐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6.门票：行程中所含的首道门票：马德里皇宫、圣家族大教堂、奎尔公园、阿尔罕布拉宫、佛朗明哥、罗卡角、莱罗书店；详细参照附带行程中所列之景点（其他为免费对外开放或外观景点或另付费项目）；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2025-09-05T16:02:48+08:00</dcterms:created>
  <dcterms:modified xsi:type="dcterms:W3CDTF">2025-09-05T16:02:48+08:00</dcterms:modified>
</cp:coreProperties>
</file>

<file path=docProps/custom.xml><?xml version="1.0" encoding="utf-8"?>
<Properties xmlns="http://schemas.openxmlformats.org/officeDocument/2006/custom-properties" xmlns:vt="http://schemas.openxmlformats.org/officeDocument/2006/docPropsVTypes"/>
</file>