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【皇牌玩家】澳大利亚大堡礁9天海岸线之旅（南航 广州出发）行程单</w:t>
      </w:r>
    </w:p>
    <w:p>
      <w:pPr>
        <w:jc w:val="center"/>
        <w:spacing w:after="100"/>
      </w:pPr>
      <w:r>
        <w:rPr>
          <w:rFonts w:ascii="微软雅黑" w:hAnsi="微软雅黑" w:eastAsia="微软雅黑" w:cs="微软雅黑"/>
          <w:sz w:val="20"/>
          <w:szCs w:val="20"/>
        </w:rPr>
        <w:t xml:space="preserve">悉尼/凯恩斯/布里斯本/黄金海岸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adly1747920050TL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布里斯本 -/- 广州	参考航班：CZ382/10:10-17:40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杰维斯湾 – 卧龙港 - 悉尼
                <w:br/>
              </w:t>
            </w:r>
          </w:p>
          <w:p>
            <w:pPr>
              <w:pStyle w:val="indent"/>
            </w:pPr>
            <w:r>
              <w:rPr>
                <w:rFonts w:ascii="微软雅黑" w:hAnsi="微软雅黑" w:eastAsia="微软雅黑" w:cs="微软雅黑"/>
                <w:color w:val="000000"/>
                <w:sz w:val="20"/>
                <w:szCs w:val="20"/>
              </w:rPr>
              <w:t xml:space="preserve">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午餐：澳式西餐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世纪世界七大奇迹之一，也是悉尼最具有地标性的建筑。建于海港上贝壳般的建筑物，外观将近全白色，近距离游览举世闻名的悉尼歌剧院（外观），深入了解其背后曲折动人的故事。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悉尼经典一日游-/-凯恩斯	航班：待定或后一天早班机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午餐：西式牛扒餐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航班：待定或后一天早班机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午餐：BBQ餐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布里斯本
                <w:br/>
              </w:t>
            </w:r>
          </w:p>
          <w:p>
            <w:pPr>
              <w:pStyle w:val="indent"/>
            </w:pPr>
            <w:r>
              <w:rPr>
                <w:rFonts w:ascii="微软雅黑" w:hAnsi="微软雅黑" w:eastAsia="微软雅黑" w:cs="微软雅黑"/>
                <w:color w:val="000000"/>
                <w:sz w:val="20"/>
                <w:szCs w:val="20"/>
              </w:rPr>
              <w:t xml:space="preserve">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在大堡礁海面饱览世界上独一无二的风光，航拍大堡礁的壮丽景色，真正体验大堡礁浪漫情怀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2025-07-06T02:38:56+08:00</dcterms:created>
  <dcterms:modified xsi:type="dcterms:W3CDTF">2025-07-06T02:38:56+08:00</dcterms:modified>
</cp:coreProperties>
</file>

<file path=docProps/custom.xml><?xml version="1.0" encoding="utf-8"?>
<Properties xmlns="http://schemas.openxmlformats.org/officeDocument/2006/custom-properties" xmlns:vt="http://schemas.openxmlformats.org/officeDocument/2006/docPropsVTypes"/>
</file>