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(20240901)SG02：香港观光两日游（观+自）新行程单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返程酒店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▶维港夜游
                <w:br/>
                漫步于星光大道，维港美丽的夜景尽收眼底。由于港阔水深，中国香港亦因而有“东方之珠”、及“世界三大夜景”之美誉。（注：如遇大节假日码头交通管制，此夜景调整为白天观景或者取消，无费用可退）
                <w:br/>
                <w:br/>
                约20：00乘车返回酒店办理入住后自由活动！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