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甄选·阿联酋迪拜阿布扎比双飞7天行程单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ZH-alq1759033679Xd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返程：迪拜-深圳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全程国际四星级酒店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景点：沙迦伊斯兰文明博物馆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酒店早餐后，前往【迪拜骆驼牧场】观看赛骆驼: Camelious 骆驼工厂是世界上第一个专业骆驼牧场，牧场于 2003 年在迪拜酋长穆罕穆德的批准下成立，并亲自为牧场提名—camelicious，占地面积约 15 平方公里，饲养骆驼超过7000 头， 隶属于迪拜酋长办公室 zabeel office 管理， 是阿联酋境内唯一可参观的的骆驼产业园，为迪拜皇室和阿联酋人民提供全系列的骆驼制品，游客在园区可以近距离的参观了解骆驼的养殖和骆驼制品的生产，了解阿拉伯人和骆驼的故事， 感受“沙漠之舟“的魅力（约120分钟）；
                <w:br/>
                乘车前往【伊朗小镇】，感受阿拉伯特色的古建筑群，于AL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交通：旅游巴士
                <w:br/>
                景点：伊朗小镇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景点：谢赫扎伊德清真寺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后前往阿拉伯文化艺术中心参观游览（约90分钟）；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领队、境外司机、导游的服务费RMB2000/人（大小同价）；
                <w:br/>
                全程单房差RMB 2200/人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2025-12-18T10:52:55+08:00</dcterms:created>
  <dcterms:modified xsi:type="dcterms:W3CDTF">2025-12-18T10:52:55+08:00</dcterms:modified>
</cp:coreProperties>
</file>

<file path=docProps/custom.xml><?xml version="1.0" encoding="utf-8"?>
<Properties xmlns="http://schemas.openxmlformats.org/officeDocument/2006/custom-properties" xmlns:vt="http://schemas.openxmlformats.org/officeDocument/2006/docPropsVTypes"/>
</file>